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360</w:t>
      </w:r>
    </w:p>
    <w:p>
      <w:r>
        <w:t>Bundesgericht (BGE), 1996-11-28, DE</w:t>
      </w:r>
    </w:p>
    <w:p>
      <w:r>
        <w:rPr>
          <w:b/>
        </w:rPr>
        <w:t xml:space="preserve">Quelle: </w:t>
      </w:r>
      <w:r>
        <w:t>https://mcp.opencaselaw.ch/entscheid/bge_122 I 360</w:t>
      </w:r>
    </w:p>
    <w:p>
      <w:r>
        <w:t>FR: ATF 122 I 360</w:t>
      </w:r>
    </w:p>
    <w:p>
      <w:r>
        <w:t>IT: DTF 122 I 360</w:t>
      </w:r>
    </w:p>
    <w:p>
      <w:pPr>
        <w:pStyle w:val="Heading2"/>
      </w:pPr>
      <w:r>
        <w:t>Regeste</w:t>
      </w:r>
    </w:p>
    <w:p>
      <w:r>
        <w:t>Regeste Persönliche Freiheit. Beschaffung und Aufbewahrung personenbezogener Daten. Besonders schützenswerte Personendaten dürfen nur gemäss einer klaren gesetzlichen Grundlage bearbeitet werden, es sei denn, die Datenbearbeitung sei für eine in einem formellen Gesetz klar umschriebene Aufgabe unentbehrlich (E. 5b). Im Kanton Zürich fehlt eine gesetzliche Grundlage dafür, die blosse Zugehörigkeit zu einem Verein systematisch ins Personaldossier von Lehrkräften aufzunehmen (E. 5d).</w:t>
      </w:r>
    </w:p>
    <w:p>
      <w:pPr>
        <w:pStyle w:val="Heading2"/>
      </w:pPr>
      <w:r>
        <w:t>Erwägungen</w:t>
      </w:r>
    </w:p>
    <w:p>
      <w:r>
        <w:rPr>
          <w:b/>
        </w:rPr>
        <w:t>E. 5</w:t>
      </w:r>
    </w:p>
    <w:p>
      <w:r>
        <w:t>Die Beschwerdeführer sind der Auffassung, das Sammeln, Aufbewahren und Bearbeiten von Informationen über ihre Zugehörigkeit zum VPM verletze die persönliche Freiheit, den Anspruch auf Achtung des Privat- und Familienlebens nach Art. 8 EMRK , die BGE 122 I 360 S. 362 Vereinsfreiheit sowie weitere verfassungsmässige Rechte, weshalb diese Daten aus ihren Personalakten entfernt werden müssten. a)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darstellen. Hierzu gehört auch der Anspruch auf eine persönliche Geheimsphäre: So wird die persönliche Freiheit durch die Erhebung erkennungsdienstlicher Daten ( BGE 109 Ia 146 E. 6a S. 155 mit Hinweis; BGE 113 Ia 1 E. 4b/bb S. 6; unveröffentlichtes Urteil i.S. G. vom 22. September 1994 E. 1a) sowie deren Aufbewahrung und Bearbeitung betroffen (BGE BGE 120 Ia 147 E. 2a S. 149 f. mit Hinweisen); desgleichen kann die Aufbewahrung persönlicher, der Öffentlichkeit ansonsten nicht zugänglicher Daten einen Eingriff in die persönliche Freiheit darstellen ( BGE 113 Ia 257 E. 4c S. 263), und zwar auch dann, wenn die Datenerhebung verfassungsmässig war und die gespeicherten Informationen den Tatsachen entsprechen (Urteil vom 12. Januar 1990 i.S. S. E. 2a, publiziert in SJ 1990 S. 561 ff. und Pra 79/1990 Nr. 243 S. 875). Auch die Übernahme von Akten eines Straf- oder Administrativverfahrens in ein anderes Verfahren berührt den Schutzbereich der persönlichen Freiheit, wenn darin besonders schützenswerte Personendaten enthalten sind (Bundesgerichtsentscheid i.S. D. vom 27. März 1991, ZBl 92/1991 S. 543 ff. E. 5 und 6; Bundesamt für Justiz vom 25. Mai 1982, VPB 48/1984 Nr. 28 E. 4-6 S. 172 f.). In gleicher Weise berührt die Beschaffung, Aufbewahrung, Verwendung und Bekanntgabe persönlicher Daten die nach Art. 8 Ziff. 1 EMRK geschützte Privatsphäre (vgl. BGE 118 Ib 277 E. 4b S. 281 f.; BGE 113 Ia 1 E. 4b/bb S. 6 f.; Entscheid i.S. S. vom 12. Januar 1990 E. 2a, SJ 1990 S. 563 = Pra 79 Nr. 243 S. 875, je mit Hinweisen). Im vorliegenden Fall sammelte die Abteilung Volksschule des Zürcherischen Erziehungsdepartements ab Februar 1991 Informationen über den VPM und dessen Mitglieder. Insgesamt wurden die Namen von 1458 angeblichen VPM-Mitgliedern, 17 Unterorganisationen oder VPM-Häusern sowie 25 Arbeitsplatzadressen (Praxen) des VPM auf einem elektronischen Datenträger gespeichert. Die Datei enthält neben Namen, Adresse, Bürgerort, Beruf, Tätigkeit und Arbeitsort der VPM-Mitglieder auch Hinweise auf deren Funktion und Verbindungen im Rahmen des VPM und auf Publikationen im VPM-Verlag. Auch wenn der VPM und seine BGE 122 I 360 S. 363 Mitglieder sich in gewissen Bereichen (insbesondere Schul- und Gesundheitspolitik) öffentlich engagieren, handelt es sich doch um Informationen, die nicht allgemein bekannt sind. Die Beschaffung und Aufbewahrung derartiger personenbezogener Daten fällt nach dem Gesagten in den Schutzbereich der persönlichen Freiheit sowie der nach Art. 8 Ziff. 1 EMRK geschützten Privatsphäre. b) Einschränkungen der persönlichen Freiheit sind zulässig, wenn sie auf einer gesetzlichen Grundlage beruhen, im öffentlichen Interesse liegen, verhältnismässig sind und den Kerngehalt des Grundrechts nicht verletzen ( BGE 120 Ia 147 E. 2b S. 150). aa) Der Regierungsrat stützte die Beschaffung und Speicherung der Informationen über VPM-Mitglieder auf § 34 lit. a Ziff. 1 des Gesetzes betreffend die Organisation und Geschäftsordnung des Regierungsrates und seiner Direktionen vom 26. Februar 1899 (OGRR), § 6 des Gesetzes über das gesamte Unterrichtswesen vom 23. Dezember 1859 (Unterrichtsgesetz), § 2 des Gesetzes über die Ausbildung von Lehrern für die Vorschulstufe und die Volksschule vom 24. September 1978 (Lehrerbildungsgesetz) und Art. 40 Ziff. 4 KV, welche dem Regierungsrat die Oberaufsicht über das Unterrichtswesen übertragen. Die Beschwerdeführer rügen eine willkürliche Auslegung der vom Regierungsrat herangezogenen kantonalen Normen; darüber hinaus sind sie der Auffassung, die genannten Aufsichtsbefugnisse seien keine hinreichend klare gesetzliche Grundlage für die Bearbeitung besonders schützenswerter Personendaten. bb) Das Bundesgericht prüft die Auslegung und Anwendung kantonalen Rechts grundsätzlich unter dem Gesichtswinkel der Willkür; eine freie Prüfung nimmt es nur bei Vorliegen besonders schwerer Eingriffe vor ( BGE 120 Ia 147 E. 2b S. 150). Dagegen überprüft das Bundesgericht in allen Fällen frei, ob die kantonale Gesetzes- oder Verordnungsbestimmung den verfassungsrechtlichen Anforderungen an die Bestimmtheit einer Eingriffsnorm erfüllt ( BGE 115 Ia 277 288 E. 7 S. 288; BGE 109 Ia 146 E. 5 S. 152 f. und 273 E. 4d S. 282 ff.; WALTER KÄLIN, Staatsrechtliche Beschwerde, 2. Auflage, Bern 1994, S. 179). Allerdings hängen auch die Anforderungen an die Klarheit und Bestimmtheit der Eingriffsnorm von der Schwere des Eingriffs ab: Bei schweren Eingriffen in grundrechtlich geschützte Positionen verlangt das Bundesgericht in den wesentlichen Punkten eine klare unzweideutige Grundlage in einem formellen Gesetz; leichtere Eingriffe können bei Vorliegen einer schlüssigen gesetzlichen Delegation auch in Erlassen unterhalb der Gesetzesstufe BGE 122 I 360 S. 364 vorgenommen oder auf Generalklauseln abgestützt werden ( BGE 99 Ia 262 E. 5 S. 269; BGE 102 Ia 62 E. 2 S. 64; BGE 106 Ia 364 E. 2 S. 366; BGE 115 Ia 277 E. 7a S. 288; 118 Ia 305 E. 2a S. 309 f. mit Hinweisen, Bundesamt für Justiz vom 13. März 1980, VPB 44/1980 Nr. 131 E. 5 S. 623). In gewissen Fällen kann eine aufgrund der Komplexität und Vielgestaltigkeit der zu regelnden Verhältnisse unabdingbare Unbestimmtheit der gesetzlichen Grundlage durch verfahrensrechtliche Garantien kompensiert werden ( BGE 109 Ia 273 E. 4d S. 284 mit Literaturhinweisen). cc) Ähnliche Anforderungen sind nach der Rechtsprechung des Europäischen Gerichtshofs für Menschenrechte an die gesetzliche Grundlage für Eingriffe in Konventionsrechte zu stellen: Zwar genügt hierfür ein Gesetz im materiellen Sinne (vgl. Entscheid i.S. Kruslin c. Frankreich vom 24. April 1990, CourEDH, Série A, vol. 176, §§ 28 f. mit Hinweisen zur bisherigen Rechtsprechung); Voraussetzung ist jedoch, dass dieses ausreichend zugänglich und hinreichend bestimmt ist, damit der Bürger die sich daraus für ihn ergebenden Konsequenzen vorhersehen kann (Entscheid vom 26. April 1979 im Fall Sunday Times, Série A, vol. 30, § 49; Urteil vom 25. März 1983 im Fall Silver, Série A vol. 61 §§ 85 ff.; Urteil vom 2. August 1984 im Fall Malone, Série A vol. 82 §§ 66 ff.). Bei schweren Eingriffen in die Privatsphäre sind klare und detaillierte gesetzliche Bestimmungen unerlässlich (Entscheid im Fall Kruslin, a.a.O., § 32). Im Fall Leander betreffend Eintragungen in eine Staatsschutzdatei verlangte der Gerichtshof, dass das Gesetz klar regle, unter welchen Voraussetzungen es die Behörden zu derartigen geheimen und potentiell gefährlichen Eingriffen in das Privatleben der Bürger ermächtige und inwiefern die Polizei derart gewonnene Informationen speichern und weitergeben dürfe (Urteil vom 26. März 1987, Série A vol. 116 §§ 50 ff.; vgl. auch Urteil vom 2. August 1984 im Fall Malone, a.a.O., § 67). dd) Soweit Eingriffe in die persönliche Freiheit (bzw. das nach Art. 8 EMRK geschützte Privatleben) durch die Erhebung, Aufbewahrung oder Bekanntgabe personenbezogener Daten erfolgen, lassen sich den Datenschutzgesetzen des Bundes und der Kantone Hinweise zu den verfassungsrechtlichen Mindestanforderungen an die gesetzliche Grundlage entnehmen: Wie das Bundesgericht bereits im Entscheid i.S. D. vom 27. März 1991 (ZBl 92/1991 S. 543 ff., E. 5c mit zahlreichen Hinweisen) ausgeführt hat, beruhen die existierenden Datenschutzgesetze und -richtlinien in Bund und Kantonen auf der Prämisse, dass der Datenschutz einem BGE 122 I 360 S. 365 verfassungsrechtlichen Anliegen entspreche und insbesondere die persönliche Freiheit betreffe; die ihnen zugrundeliegenden allgemeinen Grundsätze sind weitgehend Konkretisierungen der verfassungsrechtlichen Anforderungen in diesem Bereich (vgl. Art. 1 des Bundesgesetzes über den Datenschutz vom 19. Juni 1992 [DSG; SR 235.1]; CHRISTOPH STEINLIN/FRANK SEETHALER in: URS MAURER/NEDIM PETER VOGT, Kommentar zum Schweizerischen Datenschutzgesetz, Basel und Frankfurt a.M. 1995 [im folgenden: DSG-Kommentar], Entstehungsgeschichte des DSG, N. 1; MARC BUNTSCHU in: DSG-Kommentar, a.a.O. Art. 1 N. 1 ff., insbes. 33 ff.). Danach dürfen Personendaten nur bearbeitet werden, wenn dafür eine gesetzliche Grundlage besteht oder das Bearbeiten zur Erfüllung einer gesetzlichen Aufgabe erforderlich ist (vgl. z.B. Art. 17 Abs. 1 DSG ; § 4 Abs. 1 des Zürcher Gesetzes über den Schutz von Personendaten vom 6. Juni 1993 [ZH-DSG]; § 5 des baselstädtischen Gesetzes über den Schutz von Personendaten vom 18. März 1992 [BS-DSG]; Art. 4 Loi sur la protection des données vom 25. November 1994 des Kantons Fribourg [FR-LPrD]; Art. 5 Abs. 1 des Berner Datenschutzgesetzes vom 19. Februar 1986 [BE-DSG]); besonders schützenswerte Personendaten dürfen grundsätzlich nur bearbeitet werden, wenn sich die Zulässigkeit aus einer gesetzlichen Grundlage klar ergibt. Ausnahmsweise genügt es auch, wenn die Datenbearbeitung für eine in einem formellen Gesetz klar umschriebene Aufgabe unentbehrlich ist, die Rechte der betroffenen Personen nicht gefährdet sind oder die betroffene Person im Einzelfall eingewilligt oder ihre Daten allgemein zugänglich gemacht hat (vgl. Art. 17 Abs. 2 DSG und § 6 BS-DSG, die beide grundsätzlich ein formelles Gesetz verlangen; § 5 ZH-DSG; Art. 13 Abs. 1 der St. Galler Datenschutzverordnung vom 24. Oktober 1995 [SG-DSV]; Art. 6 BE-DSG). Zu den besonders schützenswerten Personendaten zählen u.a. Daten über die religiösen, weltanschaulichen, politischen oder gewerkschaftlichen Ansichten oder Tätigkeiten ( Art. 3 lit. c Ziff. 1 DSG ; § 1 lit. d Ziff. 1 ZH-DSG; Art. 6 Abs. 1 lit. a SG-DSV; § 2 Abs. 2 BS-DSG; Art. 3 lit. c Ziff. 1 FR-LPrD; Art. 3 lit. a BE-DSG; Art. 6 des Europarats-Übereinkommens zum Schutz des Menschen bei der automatischen Verarbeitung personenbezogener Daten vom 28. Januar 1981; vgl. auch § 3 Abs. 2 des Reglements über den Schutz und die Sicherung von Daten bei der "KSD Kanton und Stadt Schaffhausen Datenverarbeitung" vom 22. April 1980, der die Speicherung von Daten über die Privatsphäre wie unter anderem die Vereins- und Organisationszugehörigkeit verbietet). BGE 122 I 360 S. 366 c) Im vorliegenden Fall sammelten die Zürcher Behörden systematisch Daten über die Mitgliedschaft sowie die Funktion von Personen beim VPM. Der VPM vertritt eine bestimmte psychologische Schule, und er ist in der Öffentlichkeit vor allem durch seine Stellungnahmen zu schul- und gesundheitspolitischen Fragen bekannt geworden. Die Mitgliedschaft im VPM bringt somit eine bestimmte weltanschauliche sowie politische Haltung zum Ausdruck. Nach Einschätzung der Zürcher Behörden weist der VPM sektenähnliche Züge und eine totalitäre, vereinnahmende Tendenz auf; VPM-Lehrkräfte verursachten Schulkonflikte aufgrund ihres rechthaberischen, missionarischen Auftretens und unkollegialen Verhaltens, welches sich unter anderem in der Unfähigkeit zeige, andere Meinungen gelten zu lassen und sich Mehrheitsentscheidungen zu fügen; dabei würden sie offensichtlich vom Verein beraten und gesteuert. Die Zürcher Behörden weisen in ihren Vernehmlassungen darauf hin, dass es zwischen 1990 und 1992 zu rund 50 Konfliktfällen im Schulwesen mit VPM-Angehörigen gekommen sei. Angesichts dieser Einschätzung des VPM sowie den zahlreichen Konflikten zwischen Erziehungsdepartement bzw. Schulpflegen einerseits und VPM-Lehrkräften bzw. dem VPM andererseits liegt es auf der Hand, dass sich die VPM-Mitgliedschaft für die Einstellung bzw. das berufliche Fortkommen im Zürcher Schuldienst negativ auswirken kann, auch wenn sie für sich allein kein Grund für eine Anstellungsverweigerung oder eine allfällige Entlassung ist. Es handelt sich somit um besonders schützenswerte Personendaten, deren Bearbeitung für die Betroffenen mit einem besonderen Gefährdungspotential verbunden ist. Zu berücksichtigen sind ferner die Umstände der Datenerhebung (JEAN-PHILIPPE WALTER, in: DSG-Kommentar, Art. 17 N. 16): Es handelte sich um eine systematische Erfassung sämtlicher bekannter VPM-Mitglieder, d.h. einer Vielzahl von Personen; überdies erfolgte die Datensammlung ohne Mitwirkung und Wissen der betroffenen Personen. Unter diesen Umständen ist von einem schwerwiegenden Eingriff in die persönliche Freiheit auszugehen, auch wenn die Datei nur einem beschränkten Personenkreis unmittelbar zugänglich ist. Dementsprechend sind eher strenge Anforderungen an die Bestimmtheit und Klarheit der gesetzlichen Grundlage zu stellen. d) Gemäss Art. 40 Ziff. 4 KV kommt dem Regierungsrat die Oberaufsicht über das Unterrichtswesen sowie über die sämtlichen ihm untergeordneten Behörden und Beamtungen zu. § 34 lit. a Ziff. 1 OGRR bestimmt, dass der Direktion des Erziehungswesens in BGE 122 I 360 S. 367 Verbindung mit dem Erziehungsrat die Oberaufsicht über das gesamte Unterrichtswesen zusteht. Der Erziehungsrat übernimmt die Aufsicht über die sämtlichen Schulanstalten des Kantons und die Förderung sowohl der wissenschaftlichen Bildung als auch der Volksbildung; ihm obliegt überdies die allgemeine Oberleitung aller öffentlichen Schulanstalten, die Vorberatung und Entwerfung der das Unterrichtswesen betreffenden Gesetze und Verordnungen sowie die Sorge für deren Vollziehung (§ 6 Unterrichtsgesetz). §2 des Lehrerbildungsgesetzes überträgt der Erziehungsdirektion in Verbindung mit dem Erziehungsrat auch die Aufsicht über sämtliche Seminare zur beruflichen Ausbildung von Lehrern für die Vorschulstufe und die Volksschule. Zur Wahrnehmung dieser Aufgaben ist das Erziehungsdepartement zwingend auf Informationen aus den seiner Aufsicht und Oberleitung unterstehenden Schulanstalten angewiesen. Dazu gehören insbesondere auch Daten über die Eignung, Qualifikation und Leistung der Lehrer sowie über alle Vorkommnisse, die Anlass zu aufsichtsrechtlichen Massnahmen gegenüber der Schulleitung bzw. disziplinarischen Massnahmen gegenüber einem Lehrer geben könnten. Hierzu können im Einzelfall auch ausserschulische Verhaltensweisen gehören, die eine Verletzung der beamtenrechtlichen Treuepflicht darstellen, weil sie die Amtsführung und das Vertrauen der Öffentlichkeit in die Verwaltung beeinträchtigen (vgl. z.B. Bundesgerichtsentscheid i.S. C. vom 28. März 1996 E. 6c und d betreffend disziplinarische Massnahmen gegen eine dem VPM angehörende Lehrerin). Der im Zürcher Schuldienst tätige Beamte oder Angestellte muss deshalb damit rechnen, dass solche Informationen der Erziehungsdirektion gemeldet und dort - zumindest eine gewisse Zeit lang - aufbewahrt werden. Jedenfalls für die Zeit vor Inkrafttreten des kantonalen Datenschutzgesetzes liegt es deshalb nahe, in den genannten Aufsichtsbefugnissen der Erziehungsdirektion auch eine gesetzliche Grundlage für die Bearbeitung von Daten zu sehen, die eng mit dem Schulbetrieb verbunden und für die Wahrnehmung der Aufsicht unentbehrlich sind. Im vorliegenden Fall handelt es sich jedoch nicht um die Registrierung einzelner, schulbezogener Vorkommnisse und Konflikte, die durch das Engagement von Lehrern beim VPM bzw. der Identifizierung mit dessen Ideen und Schulkonzepten ausgelöst worden wären. Vielmehr sammelte das Erziehungsdepartement Informationen über sämtliche VPM-Mitglieder; Kriterium für die Speicherung in der Datei war somit einzig die Vereinszugehörigkeit. Auch soweit BGE 122 I 360 S. 368 die Datensammlung Beamte bzw. Angestellte im Schuldienst betraf, ging es nicht um konkrete berufsbezogene Leistungen bzw. Verfehlungen, bei denen die VPM-Mitgliedschaft eine Rolle gespielt hätte, sondern abstrakt um Mitgliedschaft und Funktion beim VPM. Die systematische Erhebung derartiger - nach dem oben (E. 5c) Gesagten besonders sensibler - Daten, die keinen unmittelbaren Zusammenhang mit dem Zürcher Schulbetrieb aufweisen, war für die Betroffenen aufgrund der allgemeinen Aufsichtsbefugnisse der Erziehungsdirektion nicht voraussehbar. Für die Bearbeitung solcher Daten wäre vielmehr eine klare gesetzliche Grundlage erforderlich gewesen, die mit der nötigen Bestimmtheit regelt, unter welchen Voraussetzungen und zu welchem Zweck die Mitgliedschaft von Beamten bzw. Angestellten in politischen bzw. weltanschaulichen Vereinen registriert werden darf, welcher Personenkreis erfasst werden darf, wem derartige Informationen bekanntgegeben werden dürfen und wann bzw. unter welchen Voraussetzungen die Daten wieder gelöscht werden müssen. Zum Schutz der persönlichen Freiheit der Betroffenen sowie aus Gründen der Rechtssicherheit darf die Erhebung solcher besonders schützenswerter Daten nicht in das Ermessen der Behörden gestellt werden, sondern muss zumindest in den Grundzügen normativ geregelt werden. Dies gilt auch im Beamtenrecht als sogenanntem besonderen Rechtsverhältnis (vgl. ROBERT ZIMMERMANN, Le principe de la légalité et les rapports de droit spéciaux dans la jurisprudence du tribunal fédéral, in: Charles-Albert Morand (Hrsg.), La Légalité: Un principe à géométrie variable, Basel/Frankfurt a.M. 1992, S. 135). e) Mangels genügender gesetzlicher Grundlage verletzte somit die Sammlung, Aufbewahrung und Bearbeitung der Daten über die VPM-Zugehörigkeit von Lehrern und anderen Personen das Grundrecht der persönlichen Freiheit sowie Art. 8 EMRK . Bei diesem Ergebnis kann offenbleiben, ob die Datensammlung weitere Grundrechte der Beschwerdeführer verletzte. Den Beschwerdeführern steht grundsätzlich ein Anspruch auf Beseitigung der widerrechtlich gespeicherten Daten zu (vgl. BGE 120 Ia 147 E. 4 S. 156; Urteil vom 25. November 1994 i.S. T., publiziert in ZBl 96/1995 S. 329 ff.; ROLF HUBER, Rechtsprobleme der Personalakte, Diss. Zürich 1985, S. 183; vgl. auch die übereinstimmende Regelung der Datenschutzgesetze, wonach der Betroffene bei widerrechtlicher Datenverarbeitung einen Beseitigungsanspruch hat, z.B. Art. 25 Abs. 1 lit. b DSG ; § 19 Abs. 1 lit. b ZH-DSG; § 22 lit. b BS-DSG; Art. 26 Abs. 1 lit. b FR-LPrD; Art. 24 Abs. 1 BE-DSG). Daher ist BGE 122 I 360 S. 369 die Entfernung der Dateiblätter aus den Personalakten der Beschwerdeführer anzuordnen. Gleiches gilt für die Korrespondenz mit Bezug auf die VPM-Datei, aus der sich ebenfalls die (mutmassliche) Zugehörigkeit der Beschwerdeführer zum VPM ablesen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